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4D9D2" w14:textId="15C43CE5" w:rsidR="00AA1824" w:rsidRPr="002A0EFA" w:rsidRDefault="0023298C" w:rsidP="008C274B">
      <w:pPr>
        <w:jc w:val="both"/>
        <w:rPr>
          <w:rFonts w:ascii="Trebuchet MS" w:hAnsi="Trebuchet MS"/>
          <w:b/>
        </w:rPr>
      </w:pPr>
      <w:bookmarkStart w:id="0" w:name="_GoBack"/>
      <w:bookmarkEnd w:id="0"/>
      <w:r w:rsidRPr="002A0EFA">
        <w:rPr>
          <w:rFonts w:ascii="Trebuchet MS" w:hAnsi="Trebuchet MS"/>
          <w:b/>
        </w:rPr>
        <w:t>Anex</w:t>
      </w:r>
      <w:r w:rsidR="005710C2" w:rsidRPr="002A0EFA">
        <w:rPr>
          <w:rFonts w:ascii="Trebuchet MS" w:hAnsi="Trebuchet MS"/>
          <w:b/>
        </w:rPr>
        <w:t>a</w:t>
      </w:r>
      <w:r w:rsidR="002366BF" w:rsidRPr="002A0EFA">
        <w:rPr>
          <w:rFonts w:ascii="Trebuchet MS" w:hAnsi="Trebuchet MS"/>
          <w:b/>
        </w:rPr>
        <w:t xml:space="preserve"> </w:t>
      </w:r>
      <w:r w:rsidR="000751F4">
        <w:rPr>
          <w:rFonts w:ascii="Trebuchet MS" w:hAnsi="Trebuchet MS"/>
          <w:b/>
        </w:rPr>
        <w:t>1</w:t>
      </w:r>
      <w:r w:rsidR="00CC3FE9" w:rsidRPr="002A0EFA">
        <w:rPr>
          <w:rFonts w:ascii="Trebuchet MS" w:hAnsi="Trebuchet MS"/>
          <w:b/>
        </w:rPr>
        <w:t>.</w:t>
      </w:r>
      <w:r w:rsidR="004371A5" w:rsidRPr="002A0EFA">
        <w:rPr>
          <w:rFonts w:ascii="Trebuchet MS" w:hAnsi="Trebuchet MS"/>
          <w:b/>
        </w:rPr>
        <w:t>:</w:t>
      </w:r>
      <w:r w:rsidR="00046A51" w:rsidRPr="002A0EFA">
        <w:rPr>
          <w:rFonts w:ascii="Trebuchet MS" w:hAnsi="Trebuchet MS"/>
          <w:b/>
        </w:rPr>
        <w:t xml:space="preserve"> </w:t>
      </w:r>
      <w:r w:rsidR="004371A5" w:rsidRPr="002A0EFA">
        <w:rPr>
          <w:rFonts w:ascii="Trebuchet MS" w:hAnsi="Trebuchet MS"/>
          <w:b/>
        </w:rPr>
        <w:t xml:space="preserve">Definițiile indicatorilor </w:t>
      </w:r>
      <w:r w:rsidR="008968B2" w:rsidRPr="002A0EFA">
        <w:rPr>
          <w:rFonts w:ascii="Trebuchet MS" w:hAnsi="Trebuchet MS"/>
          <w:b/>
        </w:rPr>
        <w:t xml:space="preserve">specifici </w:t>
      </w:r>
      <w:r w:rsidR="004371A5" w:rsidRPr="002A0EFA">
        <w:rPr>
          <w:rFonts w:ascii="Trebuchet MS" w:hAnsi="Trebuchet MS"/>
          <w:b/>
        </w:rPr>
        <w:t xml:space="preserve">de </w:t>
      </w:r>
      <w:r w:rsidR="002D46B0" w:rsidRPr="002A0EFA">
        <w:rPr>
          <w:rFonts w:ascii="Trebuchet MS" w:hAnsi="Trebuchet MS"/>
          <w:b/>
        </w:rPr>
        <w:t xml:space="preserve">realizare si </w:t>
      </w:r>
      <w:r w:rsidR="004371A5" w:rsidRPr="002A0EFA">
        <w:rPr>
          <w:rFonts w:ascii="Trebuchet MS" w:hAnsi="Trebuchet MS"/>
          <w:b/>
        </w:rPr>
        <w:t xml:space="preserve">rezultat </w:t>
      </w:r>
      <w:r w:rsidR="0069217C" w:rsidRPr="002A0EFA">
        <w:rPr>
          <w:rFonts w:ascii="Trebuchet MS" w:hAnsi="Trebuchet MS"/>
          <w:b/>
        </w:rPr>
        <w:t xml:space="preserve">imediat </w:t>
      </w:r>
      <w:r w:rsidR="004A3D0F" w:rsidRPr="002A0EFA">
        <w:rPr>
          <w:rFonts w:ascii="Trebuchet MS" w:hAnsi="Trebuchet MS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9"/>
        <w:gridCol w:w="1179"/>
        <w:gridCol w:w="3688"/>
        <w:gridCol w:w="8164"/>
      </w:tblGrid>
      <w:tr w:rsidR="001D47A6" w:rsidRPr="002A0EFA" w14:paraId="1FD3A4B6" w14:textId="77777777" w:rsidTr="00342C8A">
        <w:tc>
          <w:tcPr>
            <w:tcW w:w="118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B353BA8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>Cod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43E8B4C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>Tip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E72D8C6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>Denumite indicator</w:t>
            </w:r>
          </w:p>
        </w:tc>
        <w:tc>
          <w:tcPr>
            <w:tcW w:w="816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6F2E8A4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>Definiția indicatorului</w:t>
            </w:r>
          </w:p>
        </w:tc>
      </w:tr>
      <w:tr w:rsidR="00342C8A" w:rsidRPr="002A0EFA" w14:paraId="39E2B42A" w14:textId="77777777" w:rsidTr="00342C8A"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064C225" w14:textId="6D6D422A" w:rsidR="00342C8A" w:rsidRPr="00342C8A" w:rsidRDefault="009764D3" w:rsidP="007A7F95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9764D3">
              <w:rPr>
                <w:rFonts w:ascii="Trebuchet MS" w:hAnsi="Trebuchet MS"/>
                <w:b/>
              </w:rPr>
              <w:t>4S52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7478DFBA" w14:textId="0F61888D" w:rsidR="00342C8A" w:rsidRPr="002A0EFA" w:rsidRDefault="009764D3" w:rsidP="007A7F95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R</w:t>
            </w:r>
            <w:r w:rsidRPr="009764D3">
              <w:rPr>
                <w:rFonts w:ascii="Trebuchet MS" w:hAnsi="Trebuchet MS"/>
                <w:b/>
              </w:rPr>
              <w:t>ezultat imediat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14:paraId="071BB93A" w14:textId="5A61CCF5" w:rsidR="00342C8A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Copii și tineri sprijiniți prin FSE care beneficiază de servicii comunitare (sociale, medicale, socioprofesionale etc.) după părăsirea instituțiilor de tip rezidențial</w:t>
            </w:r>
          </w:p>
        </w:tc>
        <w:tc>
          <w:tcPr>
            <w:tcW w:w="8164" w:type="dxa"/>
            <w:tcBorders>
              <w:bottom w:val="single" w:sz="4" w:space="0" w:color="auto"/>
            </w:tcBorders>
            <w:shd w:val="clear" w:color="auto" w:fill="auto"/>
          </w:tcPr>
          <w:p w14:paraId="4988062A" w14:textId="7FFF83E9" w:rsidR="00342C8A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Acest indicator reprezintă numărul persoanelor sprijinite în cadrul Obiectivelor Specifice 4.12 și 4.13 care au beneficiat de servicii comunitare (sociale, medicale, socio-profesionale)</w:t>
            </w:r>
          </w:p>
          <w:p w14:paraId="5783173B" w14:textId="77777777" w:rsid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08F77217" w14:textId="5B1F0EF8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EXPLICAŢIILE TERMENILOR:</w:t>
            </w:r>
          </w:p>
          <w:p w14:paraId="3AE8A184" w14:textId="77777777" w:rsidR="00D06FDD" w:rsidRDefault="00D06FDD" w:rsidP="00D06FDD">
            <w:pPr>
              <w:pStyle w:val="al"/>
              <w:spacing w:line="300" w:lineRule="atLeast"/>
              <w:rPr>
                <w:rFonts w:ascii="Arial" w:hAnsi="Arial" w:cs="Arial"/>
                <w:color w:val="333333"/>
                <w:sz w:val="23"/>
                <w:szCs w:val="23"/>
                <w:lang w:val="ro-RO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lang w:val="ro-RO"/>
              </w:rPr>
              <w:t>Serviciile de tip rezidențial - servicii prin care se asigură protecția, creșterea și îngrijirea copilului separat, temporar sau definitiv, de părinții săi, ca urmare a stabilirii măsurii plasamentului și care asigură găzduire pe o perioadă mai mare de 24 de ore.</w:t>
            </w:r>
          </w:p>
          <w:p w14:paraId="323F88CA" w14:textId="6AB44D63" w:rsidR="00D06FDD" w:rsidRDefault="00D06FDD" w:rsidP="00D06FDD">
            <w:pPr>
              <w:pStyle w:val="al"/>
              <w:spacing w:line="300" w:lineRule="atLeast"/>
              <w:rPr>
                <w:rFonts w:ascii="Arial" w:hAnsi="Arial" w:cs="Arial"/>
                <w:color w:val="333333"/>
                <w:sz w:val="23"/>
                <w:szCs w:val="23"/>
                <w:lang w:val="ro-RO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lang w:val="ro-RO"/>
              </w:rPr>
              <w:t xml:space="preserve">Centru de plasament clasic/modulat– serviciu de tip rezidențial care nu este organizat pe model familial. </w:t>
            </w:r>
          </w:p>
          <w:p w14:paraId="5DBDE2A4" w14:textId="6D38AC86" w:rsidR="00D06FDD" w:rsidRPr="009764D3" w:rsidRDefault="00D06FDD" w:rsidP="00D06FDD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Sursa: Legea 272/2004 privind protecţia şi promovarea drepturilor copilului, cu modificările și completările ulterioare</w:t>
            </w:r>
          </w:p>
          <w:p w14:paraId="38BA7521" w14:textId="27360B52" w:rsidR="009764D3" w:rsidRPr="009764D3" w:rsidRDefault="00D06FDD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 w:rsidDel="00A413B4">
              <w:rPr>
                <w:rFonts w:ascii="Trebuchet MS" w:hAnsi="Trebuchet MS"/>
              </w:rPr>
              <w:t xml:space="preserve"> </w:t>
            </w:r>
          </w:p>
          <w:p w14:paraId="71CAEBA3" w14:textId="26AA5BD7" w:rsidR="00142779" w:rsidRPr="00700856" w:rsidRDefault="009764D3" w:rsidP="00142779">
            <w:pPr>
              <w:rPr>
                <w:lang w:val="fr-FR"/>
              </w:rPr>
            </w:pPr>
            <w:r w:rsidRPr="009764D3">
              <w:rPr>
                <w:rFonts w:ascii="Trebuchet MS" w:hAnsi="Trebuchet MS"/>
              </w:rPr>
              <w:t>„Serviciile comunitare”:</w:t>
            </w:r>
            <w:r w:rsidR="00142779">
              <w:rPr>
                <w:rFonts w:ascii="Arial" w:hAnsi="Arial" w:cs="Arial"/>
                <w:color w:val="333333"/>
                <w:sz w:val="23"/>
                <w:szCs w:val="23"/>
              </w:rPr>
              <w:t xml:space="preserve"> servicii de îngrijire de zi destinate prevenirii separării copilului de familia sa, organizate conform </w:t>
            </w:r>
            <w:r w:rsidR="00142779" w:rsidRPr="00700856"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>Nomenclatorul</w:t>
            </w:r>
            <w:r w:rsidR="00142779"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 xml:space="preserve">ui </w:t>
            </w:r>
            <w:r w:rsidR="00142779" w:rsidRPr="00700856"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>serviciilor sociale, aprobat prin Hotărârea Guvernului nr. 867/2015</w:t>
            </w:r>
          </w:p>
          <w:p w14:paraId="453FE35B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3F01E570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 xml:space="preserve">„Data intrării în operațiunea FSE” reprezintă data la care entitatea/persoana a beneficiat prima dată de sprijinul oferit prin operaţiune. </w:t>
            </w:r>
          </w:p>
          <w:p w14:paraId="46CBC930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12F20591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 xml:space="preserve">„Operațiune” înseamnă un proiect, un contract, o acțiune sau un grup de </w:t>
            </w:r>
            <w:r w:rsidRPr="009764D3">
              <w:rPr>
                <w:rFonts w:ascii="Trebuchet MS" w:hAnsi="Trebuchet MS"/>
              </w:rPr>
              <w:lastRenderedPageBreak/>
              <w:t>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</w:t>
            </w:r>
          </w:p>
          <w:p w14:paraId="69CC37F5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Sursa: Regulament (UE) Nr. 1303/2013 al Parlamentului European și al Consiliului din 17 decembrie 2013 de stabilire a unor dispoziții comune</w:t>
            </w:r>
          </w:p>
          <w:p w14:paraId="5A8B9941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388337FE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DATELE VOR FI COLECTATE, MONITORIZATE ŞI RAPORTATE PENTRU URMĂTOARELE CATEGORII:</w:t>
            </w:r>
          </w:p>
          <w:p w14:paraId="1D07DBE6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518BCB1D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 xml:space="preserve"> „Copiii”:  sunt persoane care nu au împlinit vârsta de 18 ani şi nici nu au dobândit capacitatea deplină de exerciţiu conform legii</w:t>
            </w:r>
          </w:p>
          <w:p w14:paraId="7AFBF917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Sursa: Legea 272/2004 privind protecţia şi promovarea drepturilor copilului, cu modificările și completările ulterioare</w:t>
            </w:r>
          </w:p>
          <w:p w14:paraId="2F8FD43A" w14:textId="77777777" w:rsidR="009764D3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55946B3C" w14:textId="6D3A15DA" w:rsidR="009764D3" w:rsidRPr="009764D3" w:rsidRDefault="009764D3" w:rsidP="00597B48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 xml:space="preserve">„Tinerii”: sunt persoane peste vârsta de 18 ani, </w:t>
            </w:r>
            <w:r w:rsidR="00597B48">
              <w:rPr>
                <w:rFonts w:ascii="Trebuchet MS" w:hAnsi="Trebuchet MS"/>
              </w:rPr>
              <w:t>care au beneficiat</w:t>
            </w:r>
            <w:r w:rsidR="007723ED">
              <w:rPr>
                <w:rFonts w:ascii="Trebuchet MS" w:hAnsi="Trebuchet MS"/>
              </w:rPr>
              <w:t>/beneficiaza</w:t>
            </w:r>
            <w:r w:rsidR="00597B48">
              <w:rPr>
                <w:rFonts w:ascii="Trebuchet MS" w:hAnsi="Trebuchet MS"/>
              </w:rPr>
              <w:t xml:space="preserve"> de o masura de protectie speciala, conform legii</w:t>
            </w:r>
          </w:p>
        </w:tc>
      </w:tr>
      <w:tr w:rsidR="004552B3" w:rsidRPr="002A0EFA" w14:paraId="264DDB66" w14:textId="77777777" w:rsidTr="00342C8A">
        <w:tc>
          <w:tcPr>
            <w:tcW w:w="1189" w:type="dxa"/>
            <w:shd w:val="clear" w:color="auto" w:fill="auto"/>
          </w:tcPr>
          <w:p w14:paraId="7A22F50D" w14:textId="4DA507EC" w:rsidR="004552B3" w:rsidRPr="009764D3" w:rsidRDefault="00773763" w:rsidP="004552B3">
            <w:pPr>
              <w:spacing w:before="120" w:after="120"/>
              <w:jc w:val="both"/>
              <w:rPr>
                <w:rFonts w:ascii="Trebuchet MS" w:hAnsi="Trebuchet MS"/>
                <w:b/>
                <w:highlight w:val="yellow"/>
              </w:rPr>
            </w:pPr>
            <w:r w:rsidRPr="00773763">
              <w:rPr>
                <w:rFonts w:ascii="Trebuchet MS" w:hAnsi="Trebuchet MS"/>
                <w:b/>
              </w:rPr>
              <w:lastRenderedPageBreak/>
              <w:t>4S53</w:t>
            </w:r>
          </w:p>
        </w:tc>
        <w:tc>
          <w:tcPr>
            <w:tcW w:w="1179" w:type="dxa"/>
            <w:shd w:val="clear" w:color="auto" w:fill="auto"/>
          </w:tcPr>
          <w:p w14:paraId="2A1FEE28" w14:textId="09E8F12C" w:rsidR="004552B3" w:rsidRPr="009764D3" w:rsidRDefault="00773763" w:rsidP="004552B3">
            <w:pPr>
              <w:spacing w:before="120" w:after="120"/>
              <w:jc w:val="both"/>
              <w:rPr>
                <w:rFonts w:ascii="Trebuchet MS" w:hAnsi="Trebuchet MS"/>
                <w:b/>
                <w:highlight w:val="yellow"/>
              </w:rPr>
            </w:pPr>
            <w:r>
              <w:rPr>
                <w:rFonts w:ascii="Trebuchet MS" w:hAnsi="Trebuchet MS"/>
                <w:b/>
              </w:rPr>
              <w:t>R</w:t>
            </w:r>
            <w:r w:rsidRPr="00773763">
              <w:rPr>
                <w:rFonts w:ascii="Trebuchet MS" w:hAnsi="Trebuchet MS"/>
                <w:b/>
              </w:rPr>
              <w:t>ezultat imediat</w:t>
            </w:r>
          </w:p>
        </w:tc>
        <w:tc>
          <w:tcPr>
            <w:tcW w:w="3688" w:type="dxa"/>
            <w:shd w:val="clear" w:color="auto" w:fill="auto"/>
          </w:tcPr>
          <w:p w14:paraId="42BFB1EF" w14:textId="5D793081" w:rsidR="004552B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  <w:highlight w:val="yellow"/>
              </w:rPr>
            </w:pPr>
            <w:r w:rsidRPr="00773763">
              <w:rPr>
                <w:rFonts w:ascii="Trebuchet MS" w:hAnsi="Trebuchet MS"/>
                <w:b/>
              </w:rPr>
              <w:t>Asistenți maternali (din care: din zona rurală) care rămân în sistem</w:t>
            </w:r>
          </w:p>
          <w:p w14:paraId="4F19EE26" w14:textId="77777777" w:rsidR="004552B3" w:rsidRPr="009764D3" w:rsidRDefault="004552B3" w:rsidP="004552B3">
            <w:pPr>
              <w:spacing w:before="120" w:after="120"/>
              <w:jc w:val="both"/>
              <w:rPr>
                <w:rFonts w:ascii="Trebuchet MS" w:hAnsi="Trebuchet MS"/>
                <w:b/>
                <w:highlight w:val="yellow"/>
              </w:rPr>
            </w:pPr>
          </w:p>
          <w:p w14:paraId="30D1F6DB" w14:textId="77777777" w:rsidR="004552B3" w:rsidRPr="009764D3" w:rsidRDefault="004552B3" w:rsidP="004552B3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highlight w:val="yellow"/>
              </w:rPr>
            </w:pPr>
          </w:p>
          <w:p w14:paraId="01F7FB3E" w14:textId="77777777" w:rsidR="004552B3" w:rsidRPr="009764D3" w:rsidRDefault="004552B3" w:rsidP="004552B3">
            <w:pPr>
              <w:spacing w:before="120" w:after="120"/>
              <w:jc w:val="both"/>
              <w:rPr>
                <w:rFonts w:ascii="Trebuchet MS" w:hAnsi="Trebuchet MS"/>
                <w:highlight w:val="yellow"/>
              </w:rPr>
            </w:pPr>
          </w:p>
          <w:p w14:paraId="260046E1" w14:textId="77777777" w:rsidR="004552B3" w:rsidRPr="009764D3" w:rsidRDefault="004552B3" w:rsidP="004552B3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Trebuchet MS" w:hAnsi="Trebuchet MS" w:cstheme="minorBidi"/>
                <w:b/>
                <w:highlight w:val="yellow"/>
              </w:rPr>
            </w:pPr>
          </w:p>
        </w:tc>
        <w:tc>
          <w:tcPr>
            <w:tcW w:w="8164" w:type="dxa"/>
            <w:shd w:val="clear" w:color="auto" w:fill="auto"/>
          </w:tcPr>
          <w:p w14:paraId="0568C33C" w14:textId="52BA6A1C" w:rsidR="00773763" w:rsidRDefault="00773763" w:rsidP="004552B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 xml:space="preserve">Acest indicator reprezintă numărul persoanelor </w:t>
            </w:r>
            <w:r w:rsidR="008472C9">
              <w:rPr>
                <w:rFonts w:ascii="Trebuchet MS" w:hAnsi="Trebuchet MS"/>
              </w:rPr>
              <w:t xml:space="preserve">nou </w:t>
            </w:r>
            <w:r w:rsidRPr="00773763">
              <w:rPr>
                <w:rFonts w:ascii="Trebuchet MS" w:hAnsi="Trebuchet MS"/>
              </w:rPr>
              <w:t>angajate ca asistenţi maternali care au beneficiat de sprijin direct în cadrul Obiectivului Specific 4.14 și au rămas în sistem până la  finalul perioadei de sustenabilitate a intervențiilor  şi care la data intrării în operațiunile FSE erau rezidente în una din regiunile eligibile.</w:t>
            </w:r>
          </w:p>
          <w:p w14:paraId="3D34C596" w14:textId="77777777" w:rsidR="00773763" w:rsidRDefault="00773763" w:rsidP="004552B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135CE2AE" w14:textId="2953270C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EXPLICAŢIILE TERMENILOR:</w:t>
            </w:r>
          </w:p>
          <w:p w14:paraId="6D70F1FE" w14:textId="686544C1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 xml:space="preserve">“Asistentul maternal profesionist”: este persoana atestată în condiţiile Hotărârii nr. 679/2003, care asigură prin activitatea pe care o desfăşoară la domiciliul său creşterea, îngrijirea şi educarea, necesare dezvoltării armonioase </w:t>
            </w:r>
            <w:r w:rsidRPr="00773763">
              <w:rPr>
                <w:rFonts w:ascii="Trebuchet MS" w:hAnsi="Trebuchet MS"/>
              </w:rPr>
              <w:lastRenderedPageBreak/>
              <w:t>a copiilor pe care îi primeşte în plasament.</w:t>
            </w:r>
          </w:p>
          <w:p w14:paraId="210093BD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Sursa: Hotărârea nr. 679/2003 privind condiţiile de obţinere a atestatului, procedurile de atestare şi statutul asistentului maternal profesionist</w:t>
            </w:r>
          </w:p>
          <w:p w14:paraId="2E3073E1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13DA5DC0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 xml:space="preserve">„Data intrării în operațiunea FSE” reprezintă data la care entitatea/persoana a beneficiat prima dată de sprijinul oferit prin operaţiune. </w:t>
            </w:r>
          </w:p>
          <w:p w14:paraId="3B4B4E84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530FE788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„Operațiune”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</w:t>
            </w:r>
          </w:p>
          <w:p w14:paraId="3086EC1C" w14:textId="100B83FF" w:rsidR="0001696A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Sursa: Regulament (UE) Nr. 1303/2013 al Parlamentului European și al Consiliului din 17 decembrie 2013 de stabilire a unor dispoziții comune</w:t>
            </w:r>
          </w:p>
          <w:p w14:paraId="351437FD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</w:p>
          <w:p w14:paraId="63B4AE90" w14:textId="77777777" w:rsidR="00773763" w:rsidRPr="00773763" w:rsidRDefault="00773763" w:rsidP="00773763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DATELE VOR FI COLECTATE, MONITORIZATE ŞI RAPORTATE PENTRU URMĂTOARELE CATEGORII:</w:t>
            </w:r>
          </w:p>
          <w:p w14:paraId="67A6C55F" w14:textId="24D385FC" w:rsidR="0049200E" w:rsidRDefault="0049200E" w:rsidP="00196BA6">
            <w:pPr>
              <w:pStyle w:val="BodyText"/>
              <w:numPr>
                <w:ilvl w:val="0"/>
                <w:numId w:val="42"/>
              </w:numPr>
              <w:jc w:val="both"/>
              <w:rPr>
                <w:rFonts w:ascii="Trebuchet MS" w:hAnsi="Trebuchet MS"/>
                <w:lang w:eastAsia="ar-SA"/>
              </w:rPr>
            </w:pPr>
            <w:r>
              <w:rPr>
                <w:rFonts w:ascii="Trebuchet MS" w:hAnsi="Trebuchet MS"/>
                <w:lang w:eastAsia="ar-SA"/>
              </w:rPr>
              <w:t>Total nr persoane</w:t>
            </w:r>
          </w:p>
          <w:p w14:paraId="73ABF11D" w14:textId="03EEB691" w:rsidR="004552B3" w:rsidRPr="00196BA6" w:rsidRDefault="00773763" w:rsidP="00196BA6">
            <w:pPr>
              <w:pStyle w:val="BodyText"/>
              <w:numPr>
                <w:ilvl w:val="0"/>
                <w:numId w:val="42"/>
              </w:numPr>
              <w:jc w:val="both"/>
              <w:rPr>
                <w:rFonts w:ascii="Trebuchet MS" w:hAnsi="Trebuchet MS"/>
                <w:lang w:eastAsia="ar-SA"/>
              </w:rPr>
            </w:pPr>
            <w:r w:rsidRPr="00773763">
              <w:rPr>
                <w:rFonts w:ascii="Trebuchet MS" w:hAnsi="Trebuchet MS"/>
              </w:rPr>
              <w:t>Persoane din zonele rurale: persoane care locuiesc în zonele rurale (sat / comună) conform Legii 351/2001 privind aprobarea Planului de amenajare a teritoriului naţional - Secţiunea IV, Reţeaua de localităţi, Anexa I.</w:t>
            </w:r>
          </w:p>
        </w:tc>
      </w:tr>
      <w:tr w:rsidR="001D47A6" w:rsidRPr="002A0EFA" w14:paraId="19028784" w14:textId="77777777" w:rsidTr="00342C8A">
        <w:tc>
          <w:tcPr>
            <w:tcW w:w="1189" w:type="dxa"/>
            <w:shd w:val="clear" w:color="auto" w:fill="auto"/>
          </w:tcPr>
          <w:p w14:paraId="027CBF46" w14:textId="3BCC7044" w:rsidR="00046A51" w:rsidRPr="002A0EFA" w:rsidRDefault="009764D3" w:rsidP="00EF488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  <w:b/>
              </w:rPr>
              <w:lastRenderedPageBreak/>
              <w:t>4S59</w:t>
            </w:r>
          </w:p>
        </w:tc>
        <w:tc>
          <w:tcPr>
            <w:tcW w:w="1179" w:type="dxa"/>
            <w:shd w:val="clear" w:color="auto" w:fill="auto"/>
          </w:tcPr>
          <w:p w14:paraId="06C2817A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 xml:space="preserve">Realizare </w:t>
            </w:r>
          </w:p>
        </w:tc>
        <w:tc>
          <w:tcPr>
            <w:tcW w:w="3688" w:type="dxa"/>
            <w:shd w:val="clear" w:color="auto" w:fill="auto"/>
          </w:tcPr>
          <w:p w14:paraId="363B4BEC" w14:textId="431D20A4" w:rsidR="004D6EF8" w:rsidRPr="009764D3" w:rsidRDefault="009764D3" w:rsidP="009764D3">
            <w:pPr>
              <w:spacing w:before="120" w:after="120"/>
              <w:jc w:val="both"/>
              <w:rPr>
                <w:rFonts w:ascii="Trebuchet MS" w:hAnsi="Trebuchet MS"/>
                <w:i/>
              </w:rPr>
            </w:pPr>
            <w:r w:rsidRPr="009764D3">
              <w:rPr>
                <w:rFonts w:ascii="Trebuchet MS" w:hAnsi="Trebuchet MS"/>
              </w:rPr>
              <w:t xml:space="preserve">Persoane anterior instituționalizate care beneficiază de servicii comunitare, din care: copii / persoane cu dizabilități/vârstnici </w:t>
            </w:r>
          </w:p>
          <w:p w14:paraId="1BDC69B0" w14:textId="77777777" w:rsidR="00E76C6C" w:rsidRPr="002A0EFA" w:rsidRDefault="00E76C6C" w:rsidP="00E76C6C">
            <w:pPr>
              <w:spacing w:before="120" w:after="120"/>
              <w:jc w:val="both"/>
              <w:rPr>
                <w:rFonts w:ascii="Trebuchet MS" w:hAnsi="Trebuchet MS"/>
                <w:i/>
              </w:rPr>
            </w:pPr>
          </w:p>
          <w:p w14:paraId="71CF4D51" w14:textId="77777777" w:rsidR="00D3150D" w:rsidRPr="002A0EFA" w:rsidRDefault="00D3150D" w:rsidP="00EF488A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i/>
              </w:rPr>
            </w:pPr>
          </w:p>
          <w:p w14:paraId="38D60819" w14:textId="77777777" w:rsidR="00046A51" w:rsidRPr="002A0EFA" w:rsidRDefault="00046A51" w:rsidP="00EF488A">
            <w:pPr>
              <w:spacing w:before="120" w:after="120"/>
              <w:jc w:val="both"/>
              <w:rPr>
                <w:rFonts w:ascii="Trebuchet MS" w:hAnsi="Trebuchet MS"/>
              </w:rPr>
            </w:pPr>
          </w:p>
        </w:tc>
        <w:tc>
          <w:tcPr>
            <w:tcW w:w="8164" w:type="dxa"/>
            <w:shd w:val="clear" w:color="auto" w:fill="auto"/>
          </w:tcPr>
          <w:p w14:paraId="03F0DAF8" w14:textId="4BBB3889" w:rsidR="009764D3" w:rsidRDefault="009764D3" w:rsidP="002A5F0F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lastRenderedPageBreak/>
              <w:t xml:space="preserve">Acest indicator reprezintă numărul </w:t>
            </w:r>
            <w:r w:rsidR="006F4527">
              <w:rPr>
                <w:rFonts w:ascii="Trebuchet MS" w:hAnsi="Trebuchet MS"/>
              </w:rPr>
              <w:t>copiilor/tinerilor</w:t>
            </w:r>
            <w:r w:rsidR="006F4527" w:rsidRPr="009764D3">
              <w:rPr>
                <w:rFonts w:ascii="Trebuchet MS" w:hAnsi="Trebuchet MS"/>
              </w:rPr>
              <w:t xml:space="preserve"> </w:t>
            </w:r>
            <w:r w:rsidRPr="009764D3">
              <w:rPr>
                <w:rFonts w:ascii="Trebuchet MS" w:hAnsi="Trebuchet MS"/>
              </w:rPr>
              <w:t>anterior instituționaliza</w:t>
            </w:r>
            <w:r w:rsidR="006F4527">
              <w:rPr>
                <w:rFonts w:ascii="Trebuchet MS" w:hAnsi="Trebuchet MS"/>
              </w:rPr>
              <w:t>ți</w:t>
            </w:r>
            <w:r w:rsidRPr="009764D3">
              <w:rPr>
                <w:rFonts w:ascii="Trebuchet MS" w:hAnsi="Trebuchet MS"/>
              </w:rPr>
              <w:t xml:space="preserve"> care au beneficiat de servicii comunitare în cadrul Obiectivelor Specifice 4.12, 4.13 sau 4.15 şi care la data intrării în operațiunile FSE erau rezidente în una din regiunile eligibile.</w:t>
            </w:r>
          </w:p>
          <w:p w14:paraId="014CCF93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</w:p>
          <w:p w14:paraId="493A708E" w14:textId="77777777" w:rsidR="0001696A" w:rsidRPr="009764D3" w:rsidRDefault="0001696A" w:rsidP="0001696A">
            <w:pPr>
              <w:spacing w:before="120"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EXPLICAŢIILE TERMENILOR:</w:t>
            </w:r>
          </w:p>
          <w:p w14:paraId="61FCD6BE" w14:textId="2FDB82BD" w:rsidR="0001696A" w:rsidRDefault="0001696A" w:rsidP="0001696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9764D3">
              <w:rPr>
                <w:rFonts w:ascii="Trebuchet MS" w:hAnsi="Trebuchet MS"/>
              </w:rPr>
              <w:t>„</w:t>
            </w:r>
            <w:r w:rsidR="00D06FDD">
              <w:rPr>
                <w:rFonts w:ascii="Trebuchet MS" w:hAnsi="Trebuchet MS"/>
              </w:rPr>
              <w:t xml:space="preserve">Copii/tineri anterior instituționalizați – copii/tineri care au avut stabilită o măsură de protecție specială </w:t>
            </w:r>
            <w:r>
              <w:rPr>
                <w:rFonts w:ascii="Trebuchet MS" w:hAnsi="Trebuchet MS"/>
              </w:rPr>
              <w:t xml:space="preserve"> </w:t>
            </w:r>
            <w:r w:rsidR="00D06FDD">
              <w:rPr>
                <w:rFonts w:ascii="Trebuchet MS" w:hAnsi="Trebuchet MS"/>
              </w:rPr>
              <w:t>într-un serviciu de tip rezidențial.</w:t>
            </w:r>
          </w:p>
          <w:p w14:paraId="50F16C7A" w14:textId="77777777" w:rsidR="00142779" w:rsidRPr="00700856" w:rsidRDefault="00142779" w:rsidP="00142779">
            <w:pPr>
              <w:rPr>
                <w:lang w:val="fr-FR"/>
              </w:rPr>
            </w:pPr>
            <w:r w:rsidRPr="009764D3">
              <w:rPr>
                <w:rFonts w:ascii="Trebuchet MS" w:hAnsi="Trebuchet MS"/>
              </w:rPr>
              <w:t>„Serviciile comunitare”: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 servicii de îngrijire de zi destinate prevenirii separării copilului de familia sa, organizate conform </w:t>
            </w:r>
            <w:r w:rsidRPr="00700856"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>Nomenclatorul</w:t>
            </w:r>
            <w:r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 xml:space="preserve">ui </w:t>
            </w:r>
            <w:r w:rsidRPr="00700856">
              <w:rPr>
                <w:rFonts w:ascii="Trebuchet MS" w:eastAsia="Calibri" w:hAnsi="Trebuchet MS" w:cs="Times New Roman"/>
                <w:color w:val="1F497D" w:themeColor="text2"/>
                <w:lang w:val="fr-FR"/>
              </w:rPr>
              <w:t>serviciilor sociale, aprobat prin Hotărârea Guvernului nr. 867/2015</w:t>
            </w:r>
          </w:p>
          <w:p w14:paraId="6E764F94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</w:p>
          <w:p w14:paraId="4BD7C89E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 xml:space="preserve">„Data intrării în operațiunea FSE” reprezintă data la care entitatea/persoana a beneficiat prima dată de sprijinul oferit prin operaţiune. </w:t>
            </w:r>
          </w:p>
          <w:p w14:paraId="303825F3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</w:p>
          <w:p w14:paraId="751498DE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>„Operațiune”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</w:t>
            </w:r>
          </w:p>
          <w:p w14:paraId="32396254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>Sursa: Regulament (UE) Nr. 1303/2013 al Parlamentului European și al Consiliului din 17 decembrie 2013 de stabilire a unor dispoziții comune</w:t>
            </w:r>
          </w:p>
          <w:p w14:paraId="5E7DF6B9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</w:p>
          <w:p w14:paraId="216EF89E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>DATELE VOR FI COLECTATE, MONITORIZATE ŞI RAPORTATE PENTRU URMĂTOARELE CATEGORII:</w:t>
            </w:r>
          </w:p>
          <w:p w14:paraId="39447DF8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</w:p>
          <w:p w14:paraId="13A17241" w14:textId="77777777" w:rsidR="009764D3" w:rsidRPr="009764D3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>- Copiii: sunt persoane care nu au împlinit vârsta de 18 ani şi nici nu au dobândit capacitatea deplină de exerciţiu conform legii</w:t>
            </w:r>
          </w:p>
          <w:p w14:paraId="0ADB4569" w14:textId="779FECA1" w:rsidR="003067E9" w:rsidRPr="002A0EFA" w:rsidRDefault="009764D3" w:rsidP="009764D3">
            <w:pPr>
              <w:pStyle w:val="BodyText"/>
              <w:rPr>
                <w:rFonts w:ascii="Trebuchet MS" w:hAnsi="Trebuchet MS"/>
                <w:lang w:eastAsia="ar-SA"/>
              </w:rPr>
            </w:pPr>
            <w:r w:rsidRPr="009764D3">
              <w:rPr>
                <w:rFonts w:ascii="Trebuchet MS" w:hAnsi="Trebuchet MS"/>
                <w:lang w:eastAsia="ar-SA"/>
              </w:rPr>
              <w:t>Sursa: Legea 272/2004 privind protecţia şi promovarea drepturilor copilului, cu modificările și completările ulterioare</w:t>
            </w:r>
          </w:p>
        </w:tc>
      </w:tr>
      <w:tr w:rsidR="00342C8A" w:rsidRPr="002A0EFA" w14:paraId="74634B43" w14:textId="77777777" w:rsidTr="00342C8A">
        <w:tc>
          <w:tcPr>
            <w:tcW w:w="1189" w:type="dxa"/>
            <w:shd w:val="clear" w:color="auto" w:fill="auto"/>
          </w:tcPr>
          <w:p w14:paraId="209B50E7" w14:textId="77777777" w:rsidR="00342C8A" w:rsidRPr="002A0EFA" w:rsidRDefault="00342C8A" w:rsidP="00342C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lastRenderedPageBreak/>
              <w:t>4S60</w:t>
            </w:r>
          </w:p>
          <w:p w14:paraId="4FC300A7" w14:textId="77777777" w:rsidR="00342C8A" w:rsidRPr="002A0EFA" w:rsidRDefault="00342C8A" w:rsidP="00342C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</w:p>
        </w:tc>
        <w:tc>
          <w:tcPr>
            <w:tcW w:w="1179" w:type="dxa"/>
            <w:shd w:val="clear" w:color="auto" w:fill="auto"/>
          </w:tcPr>
          <w:p w14:paraId="06FCD3A0" w14:textId="017B6D89" w:rsidR="00342C8A" w:rsidRPr="002A0EFA" w:rsidRDefault="00342C8A" w:rsidP="00342C8A">
            <w:pPr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2A0EFA">
              <w:rPr>
                <w:rFonts w:ascii="Trebuchet MS" w:hAnsi="Trebuchet MS"/>
                <w:b/>
              </w:rPr>
              <w:t>Realizare</w:t>
            </w:r>
          </w:p>
        </w:tc>
        <w:tc>
          <w:tcPr>
            <w:tcW w:w="3688" w:type="dxa"/>
            <w:shd w:val="clear" w:color="auto" w:fill="auto"/>
          </w:tcPr>
          <w:p w14:paraId="7725DC69" w14:textId="36CE7276" w:rsidR="00342C8A" w:rsidRPr="002A0EFA" w:rsidRDefault="00342C8A" w:rsidP="00342C8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2A0EFA">
              <w:rPr>
                <w:rFonts w:ascii="Trebuchet MS" w:hAnsi="Trebuchet MS"/>
              </w:rPr>
              <w:t>Asistenti maternali (</w:t>
            </w:r>
            <w:r w:rsidRPr="002A0EFA">
              <w:rPr>
                <w:rFonts w:ascii="Trebuchet MS" w:hAnsi="Trebuchet MS"/>
                <w:i/>
              </w:rPr>
              <w:t>din care din zona rurala)</w:t>
            </w:r>
            <w:r w:rsidRPr="002A0EFA">
              <w:rPr>
                <w:rFonts w:ascii="Trebuchet MS" w:hAnsi="Trebuchet MS"/>
              </w:rPr>
              <w:t xml:space="preserve"> care beneficiaza de sprijin</w:t>
            </w:r>
          </w:p>
          <w:p w14:paraId="2C4F4325" w14:textId="77777777" w:rsidR="00342C8A" w:rsidRPr="002A0EFA" w:rsidRDefault="00342C8A" w:rsidP="00D5730D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b/>
              </w:rPr>
            </w:pPr>
          </w:p>
        </w:tc>
        <w:tc>
          <w:tcPr>
            <w:tcW w:w="8164" w:type="dxa"/>
            <w:shd w:val="clear" w:color="auto" w:fill="auto"/>
          </w:tcPr>
          <w:p w14:paraId="2B5E8A0C" w14:textId="4D45DE30" w:rsidR="0001696A" w:rsidRDefault="0001696A" w:rsidP="0001696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 xml:space="preserve">Acest indicator reprezintă numărul persoanelor </w:t>
            </w:r>
            <w:r>
              <w:rPr>
                <w:rFonts w:ascii="Trebuchet MS" w:hAnsi="Trebuchet MS"/>
              </w:rPr>
              <w:t xml:space="preserve">nou </w:t>
            </w:r>
            <w:r w:rsidRPr="00773763">
              <w:rPr>
                <w:rFonts w:ascii="Trebuchet MS" w:hAnsi="Trebuchet MS"/>
              </w:rPr>
              <w:t>angajate ca asistenţi maternali care au beneficiat de sprijin direct în cadrul Obiectivului Specific 4.14.</w:t>
            </w:r>
          </w:p>
          <w:p w14:paraId="54B18692" w14:textId="77777777" w:rsidR="0001696A" w:rsidRDefault="0001696A" w:rsidP="00342C8A">
            <w:pPr>
              <w:spacing w:before="120" w:after="120"/>
              <w:jc w:val="both"/>
              <w:rPr>
                <w:rFonts w:ascii="Trebuchet MS" w:hAnsi="Trebuchet MS"/>
                <w:b/>
                <w:u w:val="single"/>
              </w:rPr>
            </w:pPr>
          </w:p>
          <w:p w14:paraId="30475E9E" w14:textId="77777777" w:rsidR="00342C8A" w:rsidRDefault="00342C8A" w:rsidP="00342C8A">
            <w:pPr>
              <w:spacing w:before="120" w:after="120"/>
              <w:jc w:val="both"/>
              <w:rPr>
                <w:rFonts w:ascii="Trebuchet MS" w:hAnsi="Trebuchet MS"/>
                <w:b/>
                <w:u w:val="single"/>
              </w:rPr>
            </w:pPr>
            <w:r w:rsidRPr="00D5730D">
              <w:rPr>
                <w:rFonts w:ascii="Trebuchet MS" w:hAnsi="Trebuchet MS"/>
                <w:b/>
                <w:u w:val="single"/>
              </w:rPr>
              <w:t>TERMINOLOGIE</w:t>
            </w:r>
          </w:p>
          <w:p w14:paraId="3F42EFA2" w14:textId="77777777" w:rsidR="0049200E" w:rsidRDefault="0049200E" w:rsidP="00342C8A">
            <w:pPr>
              <w:spacing w:before="120" w:after="120"/>
              <w:jc w:val="both"/>
              <w:rPr>
                <w:rFonts w:ascii="Trebuchet MS" w:hAnsi="Trebuchet MS"/>
                <w:b/>
                <w:u w:val="single"/>
              </w:rPr>
            </w:pPr>
          </w:p>
          <w:p w14:paraId="624D747F" w14:textId="77777777" w:rsidR="0049200E" w:rsidRPr="00773763" w:rsidRDefault="0049200E" w:rsidP="0049200E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“Asistentul maternal profesionist”: este persoana atestată în condiţiile Hotărârii nr. 679/2003, care asigură prin activitatea pe care o desfăşoară la domiciliul său creşterea, îngrijirea şi educarea, necesare dezvoltării armonioase a copiilor pe care îi primeşte în plasament.</w:t>
            </w:r>
          </w:p>
          <w:p w14:paraId="507B10FD" w14:textId="77777777" w:rsidR="0049200E" w:rsidRPr="00773763" w:rsidRDefault="0049200E" w:rsidP="0049200E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773763">
              <w:rPr>
                <w:rFonts w:ascii="Trebuchet MS" w:hAnsi="Trebuchet MS"/>
              </w:rPr>
              <w:t>Sursa: Hotărârea nr. 679/2003 privind condiţiile de obţinere a atestatului, procedurile de atestare şi statutul asistentului maternal profesionist</w:t>
            </w:r>
          </w:p>
          <w:p w14:paraId="075BDE0F" w14:textId="77777777" w:rsidR="00342C8A" w:rsidRDefault="00342C8A" w:rsidP="00702F40">
            <w:pPr>
              <w:pStyle w:val="BodyText"/>
              <w:jc w:val="both"/>
              <w:rPr>
                <w:rFonts w:ascii="Trebuchet MS" w:hAnsi="Trebuchet MS"/>
                <w:lang w:eastAsia="ar-SA"/>
              </w:rPr>
            </w:pPr>
            <w:r w:rsidRPr="00702F40">
              <w:rPr>
                <w:rFonts w:ascii="Trebuchet MS" w:hAnsi="Trebuchet MS"/>
                <w:b/>
                <w:lang w:eastAsia="ar-SA"/>
              </w:rPr>
              <w:t>DATELE VOR FI COLECTATE, MONITORIZATE ŞI RAPORTATE PENTRU URMĂTOARELE CATEGORII</w:t>
            </w:r>
            <w:r w:rsidRPr="002A0EFA">
              <w:rPr>
                <w:rFonts w:ascii="Trebuchet MS" w:hAnsi="Trebuchet MS"/>
                <w:lang w:eastAsia="ar-SA"/>
              </w:rPr>
              <w:t>:</w:t>
            </w:r>
          </w:p>
          <w:p w14:paraId="635FAA1D" w14:textId="77777777" w:rsidR="0049200E" w:rsidRDefault="0049200E" w:rsidP="00702F40">
            <w:pPr>
              <w:pStyle w:val="BodyText"/>
              <w:jc w:val="both"/>
              <w:rPr>
                <w:rFonts w:ascii="Trebuchet MS" w:hAnsi="Trebuchet MS"/>
                <w:lang w:eastAsia="ar-SA"/>
              </w:rPr>
            </w:pPr>
          </w:p>
          <w:p w14:paraId="7B284FC0" w14:textId="77777777" w:rsidR="0049200E" w:rsidRPr="002A0EFA" w:rsidRDefault="0049200E" w:rsidP="0049200E">
            <w:pPr>
              <w:pStyle w:val="BodyText"/>
              <w:jc w:val="both"/>
              <w:rPr>
                <w:rFonts w:ascii="Trebuchet MS" w:hAnsi="Trebuchet MS"/>
                <w:lang w:eastAsia="ar-SA"/>
              </w:rPr>
            </w:pPr>
            <w:r>
              <w:rPr>
                <w:rFonts w:ascii="Trebuchet MS" w:hAnsi="Trebuchet MS"/>
                <w:lang w:eastAsia="ar-SA"/>
              </w:rPr>
              <w:t>- Total nr persoane</w:t>
            </w:r>
          </w:p>
          <w:p w14:paraId="10C34F57" w14:textId="566D4053" w:rsidR="0049200E" w:rsidRPr="00702F40" w:rsidRDefault="0049200E" w:rsidP="0049200E">
            <w:pPr>
              <w:shd w:val="clear" w:color="auto" w:fill="FFFFFF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2A0EFA">
              <w:rPr>
                <w:rFonts w:ascii="Trebuchet MS" w:hAnsi="Trebuchet MS"/>
              </w:rPr>
              <w:t>Asistent maternal , din care – d</w:t>
            </w:r>
            <w:r w:rsidRPr="002A0EFA">
              <w:rPr>
                <w:rFonts w:ascii="Trebuchet MS" w:hAnsi="Trebuchet MS"/>
                <w:b/>
              </w:rPr>
              <w:t>in zona rurala-</w:t>
            </w:r>
            <w:r w:rsidRPr="002A0EFA">
              <w:rPr>
                <w:rFonts w:ascii="Trebuchet MS" w:hAnsi="Trebuchet MS"/>
              </w:rPr>
              <w:t xml:space="preserve"> persoane din zonele rurale (sat/comună) conform Legii nr. 351/2001 privind aprobarea Planului de amenajare a teritoriului naţional - Capitolul IV, Reţeaua de localităţi, Anexa I.</w:t>
            </w:r>
          </w:p>
          <w:p w14:paraId="680DF978" w14:textId="77777777" w:rsidR="0049200E" w:rsidRDefault="0049200E" w:rsidP="00702F40">
            <w:pPr>
              <w:pStyle w:val="BodyText"/>
              <w:jc w:val="both"/>
              <w:rPr>
                <w:rFonts w:ascii="Trebuchet MS" w:hAnsi="Trebuchet MS"/>
                <w:lang w:eastAsia="ar-SA"/>
              </w:rPr>
            </w:pPr>
          </w:p>
          <w:p w14:paraId="77CFA7BF" w14:textId="49D124C4" w:rsidR="00342C8A" w:rsidRPr="002A0EFA" w:rsidRDefault="00342C8A" w:rsidP="00342C8A">
            <w:pPr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</w:tbl>
    <w:p w14:paraId="7D572866" w14:textId="77777777" w:rsidR="00046A51" w:rsidRPr="00E41092" w:rsidRDefault="00046A51" w:rsidP="008C274B">
      <w:pPr>
        <w:jc w:val="both"/>
      </w:pPr>
    </w:p>
    <w:sectPr w:rsidR="00046A51" w:rsidRPr="00E41092" w:rsidSect="00046A5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55377" w14:textId="77777777" w:rsidR="00162B97" w:rsidRDefault="00162B97" w:rsidP="00321234">
      <w:pPr>
        <w:spacing w:after="0" w:line="240" w:lineRule="auto"/>
      </w:pPr>
      <w:r>
        <w:separator/>
      </w:r>
    </w:p>
  </w:endnote>
  <w:endnote w:type="continuationSeparator" w:id="0">
    <w:p w14:paraId="0EBD9E85" w14:textId="77777777" w:rsidR="00162B97" w:rsidRDefault="00162B97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ont202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769984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  <w:sz w:val="20"/>
        <w:szCs w:val="20"/>
      </w:rPr>
    </w:sdtEndPr>
    <w:sdtContent>
      <w:p w14:paraId="0FB2FC55" w14:textId="2D8B2DA1" w:rsidR="004174B0" w:rsidRPr="0072534F" w:rsidRDefault="004174B0">
        <w:pPr>
          <w:pStyle w:val="Footer"/>
          <w:jc w:val="right"/>
          <w:rPr>
            <w:rFonts w:ascii="Calibri" w:hAnsi="Calibri"/>
            <w:b/>
            <w:color w:val="17365D" w:themeColor="text2" w:themeShade="BF"/>
            <w:sz w:val="20"/>
            <w:szCs w:val="20"/>
          </w:rPr>
        </w:pP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begin"/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separate"/>
        </w:r>
        <w:r w:rsidR="007C4001">
          <w:rPr>
            <w:rFonts w:ascii="Calibri" w:hAnsi="Calibri"/>
            <w:b/>
            <w:noProof/>
            <w:color w:val="17365D" w:themeColor="text2" w:themeShade="BF"/>
            <w:sz w:val="20"/>
            <w:szCs w:val="20"/>
          </w:rPr>
          <w:t>2</w: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14:paraId="126862A7" w14:textId="77777777" w:rsidR="004174B0" w:rsidRPr="002C46C9" w:rsidRDefault="004174B0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8C4D2" w14:textId="77777777" w:rsidR="00162B97" w:rsidRDefault="00162B97" w:rsidP="00321234">
      <w:pPr>
        <w:spacing w:after="0" w:line="240" w:lineRule="auto"/>
      </w:pPr>
      <w:r>
        <w:separator/>
      </w:r>
    </w:p>
  </w:footnote>
  <w:footnote w:type="continuationSeparator" w:id="0">
    <w:p w14:paraId="7E5ACC1A" w14:textId="77777777" w:rsidR="00162B97" w:rsidRDefault="00162B97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5200"/>
    <w:multiLevelType w:val="hybridMultilevel"/>
    <w:tmpl w:val="D94E458A"/>
    <w:lvl w:ilvl="0" w:tplc="89F610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316CC7"/>
    <w:multiLevelType w:val="hybridMultilevel"/>
    <w:tmpl w:val="3F68F714"/>
    <w:lvl w:ilvl="0" w:tplc="F828A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F2146"/>
    <w:multiLevelType w:val="hybridMultilevel"/>
    <w:tmpl w:val="5492F556"/>
    <w:lvl w:ilvl="0" w:tplc="72A0DD2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A52FE"/>
    <w:multiLevelType w:val="hybridMultilevel"/>
    <w:tmpl w:val="BDD079F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7C6C9A"/>
    <w:multiLevelType w:val="hybridMultilevel"/>
    <w:tmpl w:val="21B68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E3411"/>
    <w:multiLevelType w:val="hybridMultilevel"/>
    <w:tmpl w:val="757A24F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34736A1"/>
    <w:multiLevelType w:val="hybridMultilevel"/>
    <w:tmpl w:val="700E4E82"/>
    <w:lvl w:ilvl="0" w:tplc="03B458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30"/>
  </w:num>
  <w:num w:numId="4">
    <w:abstractNumId w:val="11"/>
  </w:num>
  <w:num w:numId="5">
    <w:abstractNumId w:val="7"/>
  </w:num>
  <w:num w:numId="6">
    <w:abstractNumId w:val="0"/>
  </w:num>
  <w:num w:numId="7">
    <w:abstractNumId w:val="21"/>
  </w:num>
  <w:num w:numId="8">
    <w:abstractNumId w:val="15"/>
  </w:num>
  <w:num w:numId="9">
    <w:abstractNumId w:val="35"/>
  </w:num>
  <w:num w:numId="10">
    <w:abstractNumId w:val="16"/>
  </w:num>
  <w:num w:numId="11">
    <w:abstractNumId w:val="39"/>
  </w:num>
  <w:num w:numId="12">
    <w:abstractNumId w:val="36"/>
  </w:num>
  <w:num w:numId="13">
    <w:abstractNumId w:val="12"/>
  </w:num>
  <w:num w:numId="14">
    <w:abstractNumId w:val="1"/>
  </w:num>
  <w:num w:numId="15">
    <w:abstractNumId w:val="6"/>
  </w:num>
  <w:num w:numId="16">
    <w:abstractNumId w:val="25"/>
  </w:num>
  <w:num w:numId="17">
    <w:abstractNumId w:val="24"/>
  </w:num>
  <w:num w:numId="18">
    <w:abstractNumId w:val="5"/>
  </w:num>
  <w:num w:numId="19">
    <w:abstractNumId w:val="17"/>
  </w:num>
  <w:num w:numId="20">
    <w:abstractNumId w:val="4"/>
  </w:num>
  <w:num w:numId="21">
    <w:abstractNumId w:val="26"/>
  </w:num>
  <w:num w:numId="22">
    <w:abstractNumId w:val="40"/>
  </w:num>
  <w:num w:numId="23">
    <w:abstractNumId w:val="19"/>
  </w:num>
  <w:num w:numId="24">
    <w:abstractNumId w:val="23"/>
  </w:num>
  <w:num w:numId="25">
    <w:abstractNumId w:val="9"/>
  </w:num>
  <w:num w:numId="26">
    <w:abstractNumId w:val="2"/>
  </w:num>
  <w:num w:numId="27">
    <w:abstractNumId w:val="34"/>
  </w:num>
  <w:num w:numId="28">
    <w:abstractNumId w:val="31"/>
  </w:num>
  <w:num w:numId="29">
    <w:abstractNumId w:val="10"/>
  </w:num>
  <w:num w:numId="30">
    <w:abstractNumId w:val="22"/>
  </w:num>
  <w:num w:numId="31">
    <w:abstractNumId w:val="27"/>
  </w:num>
  <w:num w:numId="32">
    <w:abstractNumId w:val="41"/>
  </w:num>
  <w:num w:numId="33">
    <w:abstractNumId w:val="38"/>
  </w:num>
  <w:num w:numId="34">
    <w:abstractNumId w:val="18"/>
  </w:num>
  <w:num w:numId="35">
    <w:abstractNumId w:val="8"/>
  </w:num>
  <w:num w:numId="36">
    <w:abstractNumId w:val="32"/>
  </w:num>
  <w:num w:numId="37">
    <w:abstractNumId w:val="13"/>
  </w:num>
  <w:num w:numId="38">
    <w:abstractNumId w:val="33"/>
  </w:num>
  <w:num w:numId="39">
    <w:abstractNumId w:val="3"/>
  </w:num>
  <w:num w:numId="40">
    <w:abstractNumId w:val="29"/>
  </w:num>
  <w:num w:numId="41">
    <w:abstractNumId w:val="3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1696A"/>
    <w:rsid w:val="000241B2"/>
    <w:rsid w:val="00025238"/>
    <w:rsid w:val="00037F36"/>
    <w:rsid w:val="00037FA4"/>
    <w:rsid w:val="00046A51"/>
    <w:rsid w:val="00046A81"/>
    <w:rsid w:val="0004766D"/>
    <w:rsid w:val="000517C8"/>
    <w:rsid w:val="00060F74"/>
    <w:rsid w:val="00074E9B"/>
    <w:rsid w:val="000751F4"/>
    <w:rsid w:val="00076143"/>
    <w:rsid w:val="00076DBA"/>
    <w:rsid w:val="0008349C"/>
    <w:rsid w:val="00087121"/>
    <w:rsid w:val="000A046E"/>
    <w:rsid w:val="000A0BF4"/>
    <w:rsid w:val="000B1545"/>
    <w:rsid w:val="000C2E46"/>
    <w:rsid w:val="000C7E73"/>
    <w:rsid w:val="000D39AE"/>
    <w:rsid w:val="000E6502"/>
    <w:rsid w:val="001005BA"/>
    <w:rsid w:val="001115B4"/>
    <w:rsid w:val="00112FAE"/>
    <w:rsid w:val="001217C8"/>
    <w:rsid w:val="0013028C"/>
    <w:rsid w:val="00131436"/>
    <w:rsid w:val="00134BB2"/>
    <w:rsid w:val="00134D20"/>
    <w:rsid w:val="00135465"/>
    <w:rsid w:val="00142779"/>
    <w:rsid w:val="001510E6"/>
    <w:rsid w:val="00153074"/>
    <w:rsid w:val="00154579"/>
    <w:rsid w:val="00157B25"/>
    <w:rsid w:val="001604DA"/>
    <w:rsid w:val="00161E8F"/>
    <w:rsid w:val="00162487"/>
    <w:rsid w:val="00162B97"/>
    <w:rsid w:val="00164C8C"/>
    <w:rsid w:val="00165506"/>
    <w:rsid w:val="0017105C"/>
    <w:rsid w:val="001821B4"/>
    <w:rsid w:val="001908CE"/>
    <w:rsid w:val="00192AE6"/>
    <w:rsid w:val="00196BA6"/>
    <w:rsid w:val="00197519"/>
    <w:rsid w:val="001A3B84"/>
    <w:rsid w:val="001A3F2C"/>
    <w:rsid w:val="001B088E"/>
    <w:rsid w:val="001B6D11"/>
    <w:rsid w:val="001C17D3"/>
    <w:rsid w:val="001C2D74"/>
    <w:rsid w:val="001D3355"/>
    <w:rsid w:val="001D47A6"/>
    <w:rsid w:val="001E028A"/>
    <w:rsid w:val="001E2DBF"/>
    <w:rsid w:val="001F399B"/>
    <w:rsid w:val="001F3FBF"/>
    <w:rsid w:val="001F6CB3"/>
    <w:rsid w:val="00201824"/>
    <w:rsid w:val="00206BB6"/>
    <w:rsid w:val="00212FF1"/>
    <w:rsid w:val="0022307A"/>
    <w:rsid w:val="0023134A"/>
    <w:rsid w:val="0023298C"/>
    <w:rsid w:val="002366BF"/>
    <w:rsid w:val="00246EAC"/>
    <w:rsid w:val="002473A0"/>
    <w:rsid w:val="002532F3"/>
    <w:rsid w:val="002616A7"/>
    <w:rsid w:val="00262F70"/>
    <w:rsid w:val="00266F39"/>
    <w:rsid w:val="00274EF7"/>
    <w:rsid w:val="002820F5"/>
    <w:rsid w:val="00297157"/>
    <w:rsid w:val="002A0EFA"/>
    <w:rsid w:val="002A5F0F"/>
    <w:rsid w:val="002A63C3"/>
    <w:rsid w:val="002B2F04"/>
    <w:rsid w:val="002B6434"/>
    <w:rsid w:val="002C3357"/>
    <w:rsid w:val="002C3C8E"/>
    <w:rsid w:val="002C46C9"/>
    <w:rsid w:val="002D3618"/>
    <w:rsid w:val="002D3D3B"/>
    <w:rsid w:val="002D46B0"/>
    <w:rsid w:val="002D4816"/>
    <w:rsid w:val="002E30AE"/>
    <w:rsid w:val="002E3AD4"/>
    <w:rsid w:val="002E5906"/>
    <w:rsid w:val="002F4D81"/>
    <w:rsid w:val="002F69CE"/>
    <w:rsid w:val="003017B8"/>
    <w:rsid w:val="00303754"/>
    <w:rsid w:val="0030655D"/>
    <w:rsid w:val="003067E9"/>
    <w:rsid w:val="00321234"/>
    <w:rsid w:val="00330E58"/>
    <w:rsid w:val="003412F3"/>
    <w:rsid w:val="00342C8A"/>
    <w:rsid w:val="0036580B"/>
    <w:rsid w:val="00380E76"/>
    <w:rsid w:val="0038552A"/>
    <w:rsid w:val="003A0C3B"/>
    <w:rsid w:val="003A173F"/>
    <w:rsid w:val="003B3CE1"/>
    <w:rsid w:val="003B7367"/>
    <w:rsid w:val="003B7D5F"/>
    <w:rsid w:val="003C6A3A"/>
    <w:rsid w:val="003D4CD8"/>
    <w:rsid w:val="003D6BC2"/>
    <w:rsid w:val="003D6F7A"/>
    <w:rsid w:val="003E6DD9"/>
    <w:rsid w:val="003F6D65"/>
    <w:rsid w:val="003F77F1"/>
    <w:rsid w:val="00402A1A"/>
    <w:rsid w:val="00405543"/>
    <w:rsid w:val="004072E3"/>
    <w:rsid w:val="004174B0"/>
    <w:rsid w:val="0042078F"/>
    <w:rsid w:val="00420C32"/>
    <w:rsid w:val="0042339A"/>
    <w:rsid w:val="00425849"/>
    <w:rsid w:val="004355F4"/>
    <w:rsid w:val="004371A5"/>
    <w:rsid w:val="004377AC"/>
    <w:rsid w:val="00437F36"/>
    <w:rsid w:val="0044341C"/>
    <w:rsid w:val="004552B3"/>
    <w:rsid w:val="00471E29"/>
    <w:rsid w:val="00471F06"/>
    <w:rsid w:val="00473C3A"/>
    <w:rsid w:val="0048186E"/>
    <w:rsid w:val="00483088"/>
    <w:rsid w:val="004835B0"/>
    <w:rsid w:val="00486ECB"/>
    <w:rsid w:val="00491FBE"/>
    <w:rsid w:val="0049200E"/>
    <w:rsid w:val="00492CD0"/>
    <w:rsid w:val="0049350A"/>
    <w:rsid w:val="00495C24"/>
    <w:rsid w:val="00496352"/>
    <w:rsid w:val="0049752A"/>
    <w:rsid w:val="004A3D0F"/>
    <w:rsid w:val="004A7389"/>
    <w:rsid w:val="004B2738"/>
    <w:rsid w:val="004B2C09"/>
    <w:rsid w:val="004B39AC"/>
    <w:rsid w:val="004B4C1B"/>
    <w:rsid w:val="004B675E"/>
    <w:rsid w:val="004B6A5C"/>
    <w:rsid w:val="004C511A"/>
    <w:rsid w:val="004D0FB2"/>
    <w:rsid w:val="004D1A76"/>
    <w:rsid w:val="004D6EF8"/>
    <w:rsid w:val="004E5001"/>
    <w:rsid w:val="005070C6"/>
    <w:rsid w:val="0053503A"/>
    <w:rsid w:val="005400E6"/>
    <w:rsid w:val="00543C42"/>
    <w:rsid w:val="00544923"/>
    <w:rsid w:val="00557C2F"/>
    <w:rsid w:val="0056560D"/>
    <w:rsid w:val="005710C2"/>
    <w:rsid w:val="00571B31"/>
    <w:rsid w:val="0057408A"/>
    <w:rsid w:val="0057480C"/>
    <w:rsid w:val="00580700"/>
    <w:rsid w:val="00586800"/>
    <w:rsid w:val="00597B48"/>
    <w:rsid w:val="005A01EC"/>
    <w:rsid w:val="005A1C8F"/>
    <w:rsid w:val="005B08E0"/>
    <w:rsid w:val="005B2F43"/>
    <w:rsid w:val="005B320E"/>
    <w:rsid w:val="005B4651"/>
    <w:rsid w:val="005B5290"/>
    <w:rsid w:val="005C4140"/>
    <w:rsid w:val="005C65C7"/>
    <w:rsid w:val="005D1224"/>
    <w:rsid w:val="005D1BB2"/>
    <w:rsid w:val="005D3D20"/>
    <w:rsid w:val="005E3486"/>
    <w:rsid w:val="005E628B"/>
    <w:rsid w:val="005F0DE2"/>
    <w:rsid w:val="005F2822"/>
    <w:rsid w:val="005F5818"/>
    <w:rsid w:val="00604223"/>
    <w:rsid w:val="0060646D"/>
    <w:rsid w:val="00614A6B"/>
    <w:rsid w:val="00620E85"/>
    <w:rsid w:val="00621409"/>
    <w:rsid w:val="00626EA6"/>
    <w:rsid w:val="00633CCA"/>
    <w:rsid w:val="006369F4"/>
    <w:rsid w:val="0064266D"/>
    <w:rsid w:val="006508B7"/>
    <w:rsid w:val="00651A2E"/>
    <w:rsid w:val="00652C0C"/>
    <w:rsid w:val="00657E94"/>
    <w:rsid w:val="006676E8"/>
    <w:rsid w:val="00674F9D"/>
    <w:rsid w:val="00682894"/>
    <w:rsid w:val="0069217C"/>
    <w:rsid w:val="00695171"/>
    <w:rsid w:val="0069769E"/>
    <w:rsid w:val="00697E2D"/>
    <w:rsid w:val="006A4906"/>
    <w:rsid w:val="006C699B"/>
    <w:rsid w:val="006C7854"/>
    <w:rsid w:val="006D237F"/>
    <w:rsid w:val="006D3494"/>
    <w:rsid w:val="006E0275"/>
    <w:rsid w:val="006E05C7"/>
    <w:rsid w:val="006E6C9B"/>
    <w:rsid w:val="006F4527"/>
    <w:rsid w:val="006F6DB9"/>
    <w:rsid w:val="00702F40"/>
    <w:rsid w:val="00707821"/>
    <w:rsid w:val="00707A6B"/>
    <w:rsid w:val="00710E8D"/>
    <w:rsid w:val="00720786"/>
    <w:rsid w:val="00724210"/>
    <w:rsid w:val="0072534F"/>
    <w:rsid w:val="00725542"/>
    <w:rsid w:val="007510C2"/>
    <w:rsid w:val="00771547"/>
    <w:rsid w:val="00771820"/>
    <w:rsid w:val="007723ED"/>
    <w:rsid w:val="00773142"/>
    <w:rsid w:val="00773763"/>
    <w:rsid w:val="0078778B"/>
    <w:rsid w:val="00787895"/>
    <w:rsid w:val="007918FF"/>
    <w:rsid w:val="00793399"/>
    <w:rsid w:val="007A2612"/>
    <w:rsid w:val="007B1BAC"/>
    <w:rsid w:val="007B703E"/>
    <w:rsid w:val="007C4001"/>
    <w:rsid w:val="007C405A"/>
    <w:rsid w:val="007E5C8D"/>
    <w:rsid w:val="007E5F3C"/>
    <w:rsid w:val="008018ED"/>
    <w:rsid w:val="00803B33"/>
    <w:rsid w:val="00806A91"/>
    <w:rsid w:val="008140EE"/>
    <w:rsid w:val="0081649A"/>
    <w:rsid w:val="008233FB"/>
    <w:rsid w:val="00823B4D"/>
    <w:rsid w:val="008252D4"/>
    <w:rsid w:val="008262EA"/>
    <w:rsid w:val="008350C0"/>
    <w:rsid w:val="00835C9E"/>
    <w:rsid w:val="0083672F"/>
    <w:rsid w:val="008447C2"/>
    <w:rsid w:val="008472C9"/>
    <w:rsid w:val="008537D6"/>
    <w:rsid w:val="00854121"/>
    <w:rsid w:val="00854898"/>
    <w:rsid w:val="00860D1C"/>
    <w:rsid w:val="00862843"/>
    <w:rsid w:val="00864027"/>
    <w:rsid w:val="0087520B"/>
    <w:rsid w:val="0087640C"/>
    <w:rsid w:val="00876A67"/>
    <w:rsid w:val="00880A5D"/>
    <w:rsid w:val="0088116C"/>
    <w:rsid w:val="00890AED"/>
    <w:rsid w:val="008968B2"/>
    <w:rsid w:val="008A177D"/>
    <w:rsid w:val="008A6587"/>
    <w:rsid w:val="008B1642"/>
    <w:rsid w:val="008B2B3C"/>
    <w:rsid w:val="008B49E7"/>
    <w:rsid w:val="008B7E5B"/>
    <w:rsid w:val="008C274B"/>
    <w:rsid w:val="008C4C3D"/>
    <w:rsid w:val="008C52AA"/>
    <w:rsid w:val="008C7EB4"/>
    <w:rsid w:val="008D1CAB"/>
    <w:rsid w:val="008D2D13"/>
    <w:rsid w:val="008D759E"/>
    <w:rsid w:val="008E20F2"/>
    <w:rsid w:val="008E46F1"/>
    <w:rsid w:val="008F188F"/>
    <w:rsid w:val="008F1A39"/>
    <w:rsid w:val="008F27F9"/>
    <w:rsid w:val="008F2F8B"/>
    <w:rsid w:val="008F4AD9"/>
    <w:rsid w:val="00911D09"/>
    <w:rsid w:val="00913203"/>
    <w:rsid w:val="009208F8"/>
    <w:rsid w:val="00923077"/>
    <w:rsid w:val="00933F6F"/>
    <w:rsid w:val="00941F00"/>
    <w:rsid w:val="00944026"/>
    <w:rsid w:val="00947C5C"/>
    <w:rsid w:val="00951031"/>
    <w:rsid w:val="00955395"/>
    <w:rsid w:val="00963696"/>
    <w:rsid w:val="00963A02"/>
    <w:rsid w:val="009764D3"/>
    <w:rsid w:val="00991C55"/>
    <w:rsid w:val="009940BE"/>
    <w:rsid w:val="00995EE0"/>
    <w:rsid w:val="00997F5C"/>
    <w:rsid w:val="009A35B1"/>
    <w:rsid w:val="009C15B4"/>
    <w:rsid w:val="009C75EF"/>
    <w:rsid w:val="009D2949"/>
    <w:rsid w:val="009D4CA4"/>
    <w:rsid w:val="009E4FA1"/>
    <w:rsid w:val="009E6229"/>
    <w:rsid w:val="009F3101"/>
    <w:rsid w:val="009F3D0E"/>
    <w:rsid w:val="00A0471C"/>
    <w:rsid w:val="00A25692"/>
    <w:rsid w:val="00A31973"/>
    <w:rsid w:val="00A36B5F"/>
    <w:rsid w:val="00A36C9F"/>
    <w:rsid w:val="00A413B4"/>
    <w:rsid w:val="00A418F5"/>
    <w:rsid w:val="00A4604B"/>
    <w:rsid w:val="00A54295"/>
    <w:rsid w:val="00A67C31"/>
    <w:rsid w:val="00A71794"/>
    <w:rsid w:val="00A862A9"/>
    <w:rsid w:val="00AA0A2D"/>
    <w:rsid w:val="00AA1824"/>
    <w:rsid w:val="00AA19E4"/>
    <w:rsid w:val="00AB4C00"/>
    <w:rsid w:val="00AB5855"/>
    <w:rsid w:val="00AC3A2C"/>
    <w:rsid w:val="00AC5CAD"/>
    <w:rsid w:val="00AD444C"/>
    <w:rsid w:val="00AD6376"/>
    <w:rsid w:val="00AD6DB4"/>
    <w:rsid w:val="00AD7EB8"/>
    <w:rsid w:val="00AE17E0"/>
    <w:rsid w:val="00AE3D62"/>
    <w:rsid w:val="00AF09B9"/>
    <w:rsid w:val="00AF130E"/>
    <w:rsid w:val="00AF3E6C"/>
    <w:rsid w:val="00AF5D0A"/>
    <w:rsid w:val="00B01BAC"/>
    <w:rsid w:val="00B01FC7"/>
    <w:rsid w:val="00B04AA8"/>
    <w:rsid w:val="00B16D14"/>
    <w:rsid w:val="00B170D3"/>
    <w:rsid w:val="00B251B4"/>
    <w:rsid w:val="00B327CA"/>
    <w:rsid w:val="00B435F1"/>
    <w:rsid w:val="00B44F08"/>
    <w:rsid w:val="00B46655"/>
    <w:rsid w:val="00B51362"/>
    <w:rsid w:val="00B52B09"/>
    <w:rsid w:val="00B60C78"/>
    <w:rsid w:val="00B62520"/>
    <w:rsid w:val="00B670C6"/>
    <w:rsid w:val="00B71443"/>
    <w:rsid w:val="00B763C9"/>
    <w:rsid w:val="00B766FD"/>
    <w:rsid w:val="00B76A8B"/>
    <w:rsid w:val="00B80444"/>
    <w:rsid w:val="00B81F72"/>
    <w:rsid w:val="00B94C2D"/>
    <w:rsid w:val="00BA130D"/>
    <w:rsid w:val="00BA362B"/>
    <w:rsid w:val="00BA52E2"/>
    <w:rsid w:val="00BB3A21"/>
    <w:rsid w:val="00BC48C0"/>
    <w:rsid w:val="00BC4DF4"/>
    <w:rsid w:val="00BD02D7"/>
    <w:rsid w:val="00BD08E8"/>
    <w:rsid w:val="00BD1D38"/>
    <w:rsid w:val="00BE1256"/>
    <w:rsid w:val="00BE3F68"/>
    <w:rsid w:val="00BF580C"/>
    <w:rsid w:val="00C045A3"/>
    <w:rsid w:val="00C053AF"/>
    <w:rsid w:val="00C07E0D"/>
    <w:rsid w:val="00C10518"/>
    <w:rsid w:val="00C1055A"/>
    <w:rsid w:val="00C11EF2"/>
    <w:rsid w:val="00C15927"/>
    <w:rsid w:val="00C255A0"/>
    <w:rsid w:val="00C27D9E"/>
    <w:rsid w:val="00C30929"/>
    <w:rsid w:val="00C30B3E"/>
    <w:rsid w:val="00C33A8E"/>
    <w:rsid w:val="00C34D74"/>
    <w:rsid w:val="00C36D6E"/>
    <w:rsid w:val="00C40B9A"/>
    <w:rsid w:val="00C420F3"/>
    <w:rsid w:val="00C45A2C"/>
    <w:rsid w:val="00C566B0"/>
    <w:rsid w:val="00C6400F"/>
    <w:rsid w:val="00C6662B"/>
    <w:rsid w:val="00C71329"/>
    <w:rsid w:val="00C771FF"/>
    <w:rsid w:val="00C80383"/>
    <w:rsid w:val="00C936E2"/>
    <w:rsid w:val="00CA7E84"/>
    <w:rsid w:val="00CB0FF3"/>
    <w:rsid w:val="00CB11B8"/>
    <w:rsid w:val="00CB6927"/>
    <w:rsid w:val="00CC3FE9"/>
    <w:rsid w:val="00CD08C0"/>
    <w:rsid w:val="00CD6BEA"/>
    <w:rsid w:val="00CE0C46"/>
    <w:rsid w:val="00CE4E2D"/>
    <w:rsid w:val="00CE6F37"/>
    <w:rsid w:val="00CF05A4"/>
    <w:rsid w:val="00CF286A"/>
    <w:rsid w:val="00CF3447"/>
    <w:rsid w:val="00CF3F4B"/>
    <w:rsid w:val="00D05FDF"/>
    <w:rsid w:val="00D06FDD"/>
    <w:rsid w:val="00D2244D"/>
    <w:rsid w:val="00D26272"/>
    <w:rsid w:val="00D3150D"/>
    <w:rsid w:val="00D343F6"/>
    <w:rsid w:val="00D508E6"/>
    <w:rsid w:val="00D56F3A"/>
    <w:rsid w:val="00D5730D"/>
    <w:rsid w:val="00D57537"/>
    <w:rsid w:val="00D60850"/>
    <w:rsid w:val="00D63187"/>
    <w:rsid w:val="00D67C0F"/>
    <w:rsid w:val="00D716CA"/>
    <w:rsid w:val="00D71EDD"/>
    <w:rsid w:val="00D85106"/>
    <w:rsid w:val="00DA4B4C"/>
    <w:rsid w:val="00DB489A"/>
    <w:rsid w:val="00DB6EEE"/>
    <w:rsid w:val="00DB7A59"/>
    <w:rsid w:val="00DC1A9C"/>
    <w:rsid w:val="00DC1D80"/>
    <w:rsid w:val="00DD046F"/>
    <w:rsid w:val="00DE5B9A"/>
    <w:rsid w:val="00E02972"/>
    <w:rsid w:val="00E156B5"/>
    <w:rsid w:val="00E209D5"/>
    <w:rsid w:val="00E25BC0"/>
    <w:rsid w:val="00E30639"/>
    <w:rsid w:val="00E312DC"/>
    <w:rsid w:val="00E34E2B"/>
    <w:rsid w:val="00E41092"/>
    <w:rsid w:val="00E45EC3"/>
    <w:rsid w:val="00E519AB"/>
    <w:rsid w:val="00E530C4"/>
    <w:rsid w:val="00E56C3F"/>
    <w:rsid w:val="00E56FD6"/>
    <w:rsid w:val="00E628CA"/>
    <w:rsid w:val="00E65000"/>
    <w:rsid w:val="00E733A7"/>
    <w:rsid w:val="00E757D6"/>
    <w:rsid w:val="00E76C6C"/>
    <w:rsid w:val="00E7762D"/>
    <w:rsid w:val="00E86C95"/>
    <w:rsid w:val="00E905B1"/>
    <w:rsid w:val="00E96C9D"/>
    <w:rsid w:val="00EB138F"/>
    <w:rsid w:val="00EB317C"/>
    <w:rsid w:val="00EB5576"/>
    <w:rsid w:val="00EC06D2"/>
    <w:rsid w:val="00EC7BBF"/>
    <w:rsid w:val="00ED59B3"/>
    <w:rsid w:val="00EE02B5"/>
    <w:rsid w:val="00EE06D3"/>
    <w:rsid w:val="00EF0F27"/>
    <w:rsid w:val="00EF3EAB"/>
    <w:rsid w:val="00EF488A"/>
    <w:rsid w:val="00EF547D"/>
    <w:rsid w:val="00EF5B24"/>
    <w:rsid w:val="00EF7B48"/>
    <w:rsid w:val="00F000D3"/>
    <w:rsid w:val="00F03472"/>
    <w:rsid w:val="00F1794F"/>
    <w:rsid w:val="00F2245C"/>
    <w:rsid w:val="00F23EA2"/>
    <w:rsid w:val="00F345C0"/>
    <w:rsid w:val="00F37818"/>
    <w:rsid w:val="00F41BA5"/>
    <w:rsid w:val="00F442A5"/>
    <w:rsid w:val="00F466E6"/>
    <w:rsid w:val="00F62ABB"/>
    <w:rsid w:val="00F64007"/>
    <w:rsid w:val="00F80729"/>
    <w:rsid w:val="00F83EFF"/>
    <w:rsid w:val="00F916C4"/>
    <w:rsid w:val="00F92FDC"/>
    <w:rsid w:val="00FA7511"/>
    <w:rsid w:val="00FC106D"/>
    <w:rsid w:val="00FC21CE"/>
    <w:rsid w:val="00FC51DB"/>
    <w:rsid w:val="00FC7A2E"/>
    <w:rsid w:val="00FD3399"/>
    <w:rsid w:val="00FD443F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509C4"/>
  <w15:docId w15:val="{039EC8CC-9C73-45B4-A443-C9B4DCFE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DefaultParagraphFont"/>
    <w:rsid w:val="00720786"/>
  </w:style>
  <w:style w:type="character" w:customStyle="1" w:styleId="tpa">
    <w:name w:val="tpa"/>
    <w:basedOn w:val="DefaultParagraphFont"/>
    <w:rsid w:val="00D56F3A"/>
  </w:style>
  <w:style w:type="character" w:customStyle="1" w:styleId="li">
    <w:name w:val="li"/>
    <w:basedOn w:val="DefaultParagraphFont"/>
    <w:rsid w:val="00D56F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F04"/>
    <w:rPr>
      <w:b/>
      <w:bCs/>
      <w:sz w:val="20"/>
      <w:szCs w:val="20"/>
    </w:rPr>
  </w:style>
  <w:style w:type="paragraph" w:customStyle="1" w:styleId="al">
    <w:name w:val="a_l"/>
    <w:basedOn w:val="Normal"/>
    <w:rsid w:val="00D06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446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91406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152009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599097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478993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5918586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2683454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751959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9DA24-3A21-4BBB-A157-8E9D397E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Alina Nona Petric</cp:lastModifiedBy>
  <cp:revision>2</cp:revision>
  <dcterms:created xsi:type="dcterms:W3CDTF">2018-03-19T14:15:00Z</dcterms:created>
  <dcterms:modified xsi:type="dcterms:W3CDTF">2018-03-19T14:15:00Z</dcterms:modified>
</cp:coreProperties>
</file>